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A5D75" w14:textId="0291BD93" w:rsidR="00002556" w:rsidRDefault="004F1033" w:rsidP="002B3DE9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lang w:val="kk-KZ"/>
        </w:rPr>
      </w:pPr>
      <w:r w:rsidRPr="002010AF">
        <w:rPr>
          <w:rFonts w:ascii="Times New Roman" w:eastAsiaTheme="minorHAnsi" w:hAnsi="Times New Roman"/>
          <w:b/>
          <w:sz w:val="28"/>
        </w:rPr>
        <w:t>«</w:t>
      </w:r>
      <w:r w:rsidR="00E414C9" w:rsidRPr="00E414C9">
        <w:rPr>
          <w:rFonts w:ascii="Times New Roman" w:eastAsiaTheme="minorHAnsi" w:hAnsi="Times New Roman"/>
          <w:b/>
          <w:sz w:val="28"/>
        </w:rPr>
        <w:t>Облыстың, республикалық маңызы бар қаланың, астананың жергілікті атқарушы органының ішкі нарықта айналысқа жіберу үшін бағалы қағаздар шығару Қағидаларын бекіту туралы</w:t>
      </w:r>
      <w:r w:rsidRPr="002010AF">
        <w:rPr>
          <w:rFonts w:ascii="Times New Roman" w:eastAsiaTheme="minorHAnsi" w:hAnsi="Times New Roman"/>
          <w:b/>
          <w:sz w:val="28"/>
        </w:rPr>
        <w:t>»</w:t>
      </w:r>
      <w:r w:rsidR="00002556">
        <w:rPr>
          <w:rFonts w:ascii="Times New Roman" w:eastAsiaTheme="minorHAnsi" w:hAnsi="Times New Roman"/>
          <w:b/>
          <w:sz w:val="28"/>
          <w:lang w:val="kk-KZ"/>
        </w:rPr>
        <w:t xml:space="preserve"> </w:t>
      </w:r>
      <w:r w:rsidR="00002556" w:rsidRPr="00002556">
        <w:rPr>
          <w:rFonts w:ascii="Times New Roman" w:eastAsiaTheme="minorHAnsi" w:hAnsi="Times New Roman"/>
          <w:b/>
          <w:sz w:val="28"/>
          <w:lang w:val="kk-KZ"/>
        </w:rPr>
        <w:t>Қазақстан Республикасы Қаржы министрінің 202</w:t>
      </w:r>
      <w:r w:rsidR="00531389">
        <w:rPr>
          <w:rFonts w:ascii="Times New Roman" w:eastAsiaTheme="minorHAnsi" w:hAnsi="Times New Roman"/>
          <w:b/>
          <w:sz w:val="28"/>
          <w:lang w:val="kk-KZ"/>
        </w:rPr>
        <w:t>5</w:t>
      </w:r>
      <w:r w:rsidR="00002556" w:rsidRPr="00002556">
        <w:rPr>
          <w:rFonts w:ascii="Times New Roman" w:eastAsiaTheme="minorHAnsi" w:hAnsi="Times New Roman"/>
          <w:b/>
          <w:sz w:val="28"/>
          <w:lang w:val="kk-KZ"/>
        </w:rPr>
        <w:t xml:space="preserve"> жылғы 30 ма</w:t>
      </w:r>
      <w:r w:rsidR="00531389">
        <w:rPr>
          <w:rFonts w:ascii="Times New Roman" w:eastAsiaTheme="minorHAnsi" w:hAnsi="Times New Roman"/>
          <w:b/>
          <w:sz w:val="28"/>
          <w:lang w:val="kk-KZ"/>
        </w:rPr>
        <w:t>мыр</w:t>
      </w:r>
      <w:r w:rsidR="00002556" w:rsidRPr="00002556">
        <w:rPr>
          <w:rFonts w:ascii="Times New Roman" w:eastAsiaTheme="minorHAnsi" w:hAnsi="Times New Roman"/>
          <w:b/>
          <w:sz w:val="28"/>
          <w:lang w:val="kk-KZ"/>
        </w:rPr>
        <w:t>дағы №</w:t>
      </w:r>
      <w:r w:rsidR="00531389">
        <w:rPr>
          <w:rFonts w:ascii="Times New Roman" w:eastAsiaTheme="minorHAnsi" w:hAnsi="Times New Roman"/>
          <w:b/>
          <w:sz w:val="28"/>
          <w:lang w:val="kk-KZ"/>
        </w:rPr>
        <w:t> 271</w:t>
      </w:r>
      <w:r w:rsidR="00002556" w:rsidRPr="00002556">
        <w:rPr>
          <w:rFonts w:ascii="Times New Roman" w:eastAsiaTheme="minorHAnsi" w:hAnsi="Times New Roman"/>
          <w:b/>
          <w:sz w:val="28"/>
          <w:lang w:val="kk-KZ"/>
        </w:rPr>
        <w:t xml:space="preserve"> бұйрығы</w:t>
      </w:r>
      <w:r w:rsidR="00002556">
        <w:rPr>
          <w:rFonts w:ascii="Times New Roman" w:eastAsiaTheme="minorHAnsi" w:hAnsi="Times New Roman"/>
          <w:b/>
          <w:sz w:val="28"/>
          <w:lang w:val="kk-KZ"/>
        </w:rPr>
        <w:t>на өзгерістер</w:t>
      </w:r>
      <w:r w:rsidR="00531389">
        <w:rPr>
          <w:rFonts w:ascii="Times New Roman" w:eastAsiaTheme="minorHAnsi" w:hAnsi="Times New Roman"/>
          <w:b/>
          <w:sz w:val="28"/>
          <w:lang w:val="kk-KZ"/>
        </w:rPr>
        <w:t xml:space="preserve"> мен толықтырулар</w:t>
      </w:r>
      <w:r w:rsidR="00002556">
        <w:rPr>
          <w:rFonts w:ascii="Times New Roman" w:eastAsiaTheme="minorHAnsi" w:hAnsi="Times New Roman"/>
          <w:b/>
          <w:sz w:val="28"/>
          <w:lang w:val="kk-KZ"/>
        </w:rPr>
        <w:t xml:space="preserve"> енгізу туралы» </w:t>
      </w:r>
      <w:r w:rsidR="00E414C9" w:rsidRPr="00002556">
        <w:rPr>
          <w:rFonts w:ascii="Times New Roman" w:eastAsiaTheme="minorHAnsi" w:hAnsi="Times New Roman"/>
          <w:b/>
          <w:sz w:val="28"/>
          <w:lang w:val="kk-KZ"/>
        </w:rPr>
        <w:t xml:space="preserve">Қазақстан Республикасы </w:t>
      </w:r>
      <w:r w:rsidR="009310F9" w:rsidRPr="00002556">
        <w:rPr>
          <w:rFonts w:ascii="Times New Roman" w:eastAsiaTheme="minorHAnsi" w:hAnsi="Times New Roman"/>
          <w:b/>
          <w:sz w:val="28"/>
          <w:lang w:val="kk-KZ"/>
        </w:rPr>
        <w:t>Қаржы министрінің</w:t>
      </w:r>
    </w:p>
    <w:p w14:paraId="1722D100" w14:textId="3D982956" w:rsidR="004F1033" w:rsidRPr="00002556" w:rsidRDefault="0054250E" w:rsidP="002B3DE9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lang w:val="kk-KZ"/>
        </w:rPr>
      </w:pPr>
      <w:r w:rsidRPr="00002556">
        <w:rPr>
          <w:rFonts w:ascii="Times New Roman" w:eastAsiaTheme="minorHAnsi" w:hAnsi="Times New Roman"/>
          <w:b/>
          <w:sz w:val="28"/>
          <w:lang w:val="kk-KZ"/>
        </w:rPr>
        <w:t>202</w:t>
      </w:r>
      <w:r w:rsidR="00531389">
        <w:rPr>
          <w:rFonts w:ascii="Times New Roman" w:eastAsiaTheme="minorHAnsi" w:hAnsi="Times New Roman"/>
          <w:b/>
          <w:sz w:val="28"/>
          <w:lang w:val="kk-KZ"/>
        </w:rPr>
        <w:t>5</w:t>
      </w:r>
      <w:r w:rsidRPr="00002556">
        <w:rPr>
          <w:rFonts w:ascii="Times New Roman" w:eastAsiaTheme="minorHAnsi" w:hAnsi="Times New Roman"/>
          <w:b/>
          <w:sz w:val="28"/>
          <w:lang w:val="kk-KZ"/>
        </w:rPr>
        <w:t xml:space="preserve"> жылғы ____________№ ___</w:t>
      </w:r>
      <w:r w:rsidR="009310F9" w:rsidRPr="00002556">
        <w:rPr>
          <w:rFonts w:ascii="Times New Roman" w:eastAsiaTheme="minorHAnsi" w:hAnsi="Times New Roman"/>
          <w:b/>
          <w:sz w:val="28"/>
          <w:lang w:val="kk-KZ"/>
        </w:rPr>
        <w:t xml:space="preserve"> </w:t>
      </w:r>
      <w:r w:rsidR="004F1033" w:rsidRPr="00002556">
        <w:rPr>
          <w:rFonts w:ascii="Times New Roman" w:eastAsiaTheme="minorHAnsi" w:hAnsi="Times New Roman"/>
          <w:b/>
          <w:sz w:val="28"/>
          <w:lang w:val="kk-KZ"/>
        </w:rPr>
        <w:t>бұйрығына</w:t>
      </w:r>
    </w:p>
    <w:p w14:paraId="2DB8B190" w14:textId="00EDDEDC" w:rsidR="004F1033" w:rsidRPr="002010AF" w:rsidRDefault="004F1033" w:rsidP="002B3DE9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</w:rPr>
      </w:pPr>
      <w:r w:rsidRPr="002010AF">
        <w:rPr>
          <w:rFonts w:ascii="Times New Roman" w:eastAsiaTheme="minorHAnsi" w:hAnsi="Times New Roman"/>
          <w:b/>
          <w:sz w:val="28"/>
        </w:rPr>
        <w:t>САЛЫСТЫРМА КЕСТЕ</w:t>
      </w:r>
    </w:p>
    <w:p w14:paraId="408B42C9" w14:textId="77777777" w:rsidR="009310F9" w:rsidRPr="00531389" w:rsidRDefault="009310F9" w:rsidP="009C1710">
      <w:pPr>
        <w:spacing w:after="0" w:line="276" w:lineRule="auto"/>
        <w:ind w:left="-284"/>
        <w:jc w:val="center"/>
        <w:rPr>
          <w:rFonts w:ascii="Times New Roman" w:eastAsiaTheme="minorHAnsi" w:hAnsi="Times New Roman"/>
          <w:b/>
          <w:sz w:val="14"/>
          <w:szCs w:val="10"/>
        </w:rPr>
      </w:pPr>
    </w:p>
    <w:tbl>
      <w:tblPr>
        <w:tblpPr w:leftFromText="180" w:rightFromText="180" w:vertAnchor="text" w:tblpX="-69" w:tblpY="1"/>
        <w:tblOverlap w:val="never"/>
        <w:tblW w:w="14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843"/>
        <w:gridCol w:w="4145"/>
        <w:gridCol w:w="4502"/>
        <w:gridCol w:w="3439"/>
      </w:tblGrid>
      <w:tr w:rsidR="004F1033" w:rsidRPr="00B60433" w14:paraId="7B0D3CA3" w14:textId="77777777" w:rsidTr="007B7562">
        <w:tc>
          <w:tcPr>
            <w:tcW w:w="704" w:type="dxa"/>
          </w:tcPr>
          <w:p w14:paraId="64AD1C36" w14:textId="77777777" w:rsidR="004F1033" w:rsidRPr="00B60433" w:rsidRDefault="004F1033" w:rsidP="009C1710">
            <w:pPr>
              <w:spacing w:after="0" w:line="240" w:lineRule="auto"/>
              <w:ind w:left="-262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14:paraId="6020386E" w14:textId="6FD398EA" w:rsidR="004F1033" w:rsidRPr="00B60433" w:rsidRDefault="004F1033" w:rsidP="007B7562">
            <w:pPr>
              <w:tabs>
                <w:tab w:val="right" w:pos="105"/>
              </w:tabs>
              <w:spacing w:after="0" w:line="240" w:lineRule="auto"/>
              <w:ind w:left="-262"/>
              <w:contextualSpacing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21B49E" w14:textId="77777777" w:rsidR="004F1033" w:rsidRPr="00B60433" w:rsidRDefault="004F1033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Құрылымдық элемент</w:t>
            </w:r>
          </w:p>
        </w:tc>
        <w:tc>
          <w:tcPr>
            <w:tcW w:w="4145" w:type="dxa"/>
          </w:tcPr>
          <w:p w14:paraId="5B1AF760" w14:textId="77777777" w:rsidR="004F1033" w:rsidRPr="00B60433" w:rsidRDefault="004F1033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Қолданыстағы </w:t>
            </w: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редакция</w:t>
            </w:r>
          </w:p>
        </w:tc>
        <w:tc>
          <w:tcPr>
            <w:tcW w:w="4502" w:type="dxa"/>
          </w:tcPr>
          <w:p w14:paraId="3490FFE2" w14:textId="77777777" w:rsidR="004F1033" w:rsidRPr="00B60433" w:rsidRDefault="004F1033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Ұсынылатын </w:t>
            </w: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редакция</w:t>
            </w:r>
          </w:p>
        </w:tc>
        <w:tc>
          <w:tcPr>
            <w:tcW w:w="3439" w:type="dxa"/>
          </w:tcPr>
          <w:p w14:paraId="39B54B0E" w14:textId="2F39C47F" w:rsidR="004F1033" w:rsidRPr="00B60433" w:rsidRDefault="004F1033" w:rsidP="002B3DE9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60433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Негіздеме </w:t>
            </w:r>
          </w:p>
        </w:tc>
      </w:tr>
      <w:tr w:rsidR="00667A85" w:rsidRPr="00B60433" w14:paraId="5F60220A" w14:textId="77777777" w:rsidTr="007B7562">
        <w:tc>
          <w:tcPr>
            <w:tcW w:w="704" w:type="dxa"/>
          </w:tcPr>
          <w:p w14:paraId="10DC7243" w14:textId="57F4E007" w:rsidR="00667A85" w:rsidRPr="00667A85" w:rsidRDefault="00667A85" w:rsidP="009C17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843" w:type="dxa"/>
          </w:tcPr>
          <w:p w14:paraId="74184197" w14:textId="5F99D412" w:rsidR="00667A85" w:rsidRPr="00B60433" w:rsidRDefault="00667A85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145" w:type="dxa"/>
          </w:tcPr>
          <w:p w14:paraId="6199221C" w14:textId="2AE34588" w:rsidR="00667A85" w:rsidRPr="00B60433" w:rsidRDefault="00667A85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502" w:type="dxa"/>
          </w:tcPr>
          <w:p w14:paraId="4ABE6782" w14:textId="5CCDF6B2" w:rsidR="00667A85" w:rsidRPr="00B60433" w:rsidRDefault="00667A85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3439" w:type="dxa"/>
          </w:tcPr>
          <w:p w14:paraId="0595D02E" w14:textId="0524D79E" w:rsidR="00667A85" w:rsidRPr="00B60433" w:rsidRDefault="00667A85" w:rsidP="009C1710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ru-RU"/>
              </w:rPr>
              <w:t>5</w:t>
            </w:r>
          </w:p>
        </w:tc>
      </w:tr>
      <w:tr w:rsidR="007C14C3" w:rsidRPr="00C30677" w14:paraId="71C41E55" w14:textId="77777777" w:rsidTr="007B7562">
        <w:trPr>
          <w:trHeight w:val="410"/>
        </w:trPr>
        <w:tc>
          <w:tcPr>
            <w:tcW w:w="14633" w:type="dxa"/>
            <w:gridSpan w:val="5"/>
          </w:tcPr>
          <w:p w14:paraId="6B31D4F8" w14:textId="529B7613" w:rsidR="007C14C3" w:rsidRPr="007C14C3" w:rsidRDefault="006A3B0B" w:rsidP="006A3B0B">
            <w:pPr>
              <w:pStyle w:val="a3"/>
              <w:widowControl w:val="0"/>
              <w:tabs>
                <w:tab w:val="left" w:pos="1134"/>
              </w:tabs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  <w:lang w:val="kk-KZ" w:eastAsia="en-US"/>
              </w:rPr>
            </w:pPr>
            <w:r w:rsidRPr="006A3B0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en-US"/>
              </w:rPr>
              <w:t xml:space="preserve">Облыстың, республикалық маңызы бар қаланың, астананың жергілікті атқарушы органының ішкі нарықта айналысқа жіберу үшін бағалы қағаздар шығару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en-US"/>
              </w:rPr>
              <w:t>қ</w:t>
            </w:r>
            <w:r w:rsidRPr="006A3B0B">
              <w:rPr>
                <w:rFonts w:ascii="Times New Roman" w:hAnsi="Times New Roman"/>
                <w:b/>
                <w:color w:val="000000"/>
                <w:sz w:val="24"/>
                <w:szCs w:val="24"/>
                <w:lang w:val="kk-KZ" w:eastAsia="en-US"/>
              </w:rPr>
              <w:t>ағидалары</w:t>
            </w:r>
          </w:p>
        </w:tc>
      </w:tr>
      <w:tr w:rsidR="00531389" w:rsidRPr="00F86093" w14:paraId="2AE79BC2" w14:textId="77777777" w:rsidTr="007B7562">
        <w:tc>
          <w:tcPr>
            <w:tcW w:w="704" w:type="dxa"/>
          </w:tcPr>
          <w:p w14:paraId="53C30FEB" w14:textId="124F219F" w:rsidR="00531389" w:rsidRPr="007B7562" w:rsidRDefault="00531389" w:rsidP="009C1710">
            <w:pPr>
              <w:pStyle w:val="a3"/>
              <w:spacing w:after="0" w:line="240" w:lineRule="auto"/>
              <w:ind w:left="122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</w:pPr>
            <w:r w:rsidRPr="007B7562"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</w:tcPr>
          <w:p w14:paraId="7D4687E1" w14:textId="0F899C90" w:rsidR="00531389" w:rsidRPr="007B7562" w:rsidRDefault="00531389" w:rsidP="00D01F40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color w:val="000000"/>
                <w:lang w:val="kk-KZ" w:eastAsia="ru-RU"/>
              </w:rPr>
            </w:pPr>
            <w:r w:rsidRPr="007B7562">
              <w:rPr>
                <w:rFonts w:ascii="Times New Roman" w:hAnsi="Times New Roman"/>
                <w:color w:val="000000"/>
                <w:lang w:val="kk-KZ" w:eastAsia="ru-RU"/>
              </w:rPr>
              <w:t>5-тармақ</w:t>
            </w:r>
          </w:p>
        </w:tc>
        <w:tc>
          <w:tcPr>
            <w:tcW w:w="4145" w:type="dxa"/>
          </w:tcPr>
          <w:p w14:paraId="15D7B6F4" w14:textId="2D8ECABB" w:rsidR="00531389" w:rsidRPr="007B7562" w:rsidRDefault="00531389" w:rsidP="00A03F8C">
            <w:pPr>
              <w:spacing w:after="0"/>
              <w:ind w:firstLine="322"/>
              <w:jc w:val="both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 xml:space="preserve">5. Бағалы қағаздарды эмитент сауда-саттықты ұйыдастырушы қағидаларында белгіленген аукционды өткізу, қосымша орналастыру, қайта ашу, </w:t>
            </w:r>
            <w:r w:rsidRPr="007B7562">
              <w:rPr>
                <w:rFonts w:ascii="Times New Roman" w:hAnsi="Times New Roman"/>
                <w:b/>
                <w:color w:val="000000"/>
                <w:lang w:val="kk-KZ"/>
              </w:rPr>
              <w:t>жазылым жүргізу</w:t>
            </w: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 xml:space="preserve"> жолымен орналастырылады.</w:t>
            </w:r>
          </w:p>
        </w:tc>
        <w:tc>
          <w:tcPr>
            <w:tcW w:w="4502" w:type="dxa"/>
          </w:tcPr>
          <w:p w14:paraId="0F927DFE" w14:textId="4BF49513" w:rsidR="00531389" w:rsidRPr="007B7562" w:rsidRDefault="00531389" w:rsidP="00A03F8C">
            <w:pPr>
              <w:spacing w:after="0"/>
              <w:ind w:firstLine="287"/>
              <w:jc w:val="both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>5. Бағалы қағаздарды эмитент сауда-саттықты ұйы</w:t>
            </w:r>
            <w:r w:rsidR="0080635F" w:rsidRPr="007B7562">
              <w:rPr>
                <w:rFonts w:ascii="Times New Roman" w:hAnsi="Times New Roman"/>
                <w:bCs/>
                <w:color w:val="000000"/>
                <w:lang w:val="kk-KZ"/>
              </w:rPr>
              <w:t>м</w:t>
            </w: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>дастырушы қағидаларында белгіленген аукционды өткізу, қосымша орналастыру, қайта ашу жолымен орналастырады.</w:t>
            </w:r>
          </w:p>
        </w:tc>
        <w:tc>
          <w:tcPr>
            <w:tcW w:w="3439" w:type="dxa"/>
          </w:tcPr>
          <w:p w14:paraId="36446989" w14:textId="77777777" w:rsidR="00DE7F28" w:rsidRPr="00DE7F28" w:rsidRDefault="00DE7F28" w:rsidP="00DE7F28">
            <w:pPr>
              <w:pStyle w:val="a3"/>
              <w:widowControl w:val="0"/>
              <w:tabs>
                <w:tab w:val="left" w:pos="1134"/>
              </w:tabs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</w:pPr>
            <w:r w:rsidRPr="00DE7F28"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  <w:t>Ашықтықты арттыру, нарықтық бағаны бұрмалау тәуекелін болдырмау, тартымдылықты арттыру және инвесторлар шеңберін кеңейту мақсатында.</w:t>
            </w:r>
          </w:p>
          <w:p w14:paraId="79918602" w14:textId="77777777" w:rsidR="00DE7F28" w:rsidRPr="00DE7F28" w:rsidRDefault="00DE7F28" w:rsidP="00DE7F28">
            <w:pPr>
              <w:pStyle w:val="a3"/>
              <w:widowControl w:val="0"/>
              <w:tabs>
                <w:tab w:val="left" w:pos="1134"/>
              </w:tabs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</w:pPr>
            <w:r w:rsidRPr="00DE7F28"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  <w:t>Бағалы қағаздарды жазылу арқылы орналастыру әдісі өзектілігін жоғалтты, себебі ол нарықтық баға белгілеу тетіктерін толық қамтымайды және сауда ұйымдастырушыларының қолданыстағы қағидаларында көзделмеген.</w:t>
            </w:r>
          </w:p>
          <w:p w14:paraId="01F83A77" w14:textId="5ECEE160" w:rsidR="00531389" w:rsidRPr="007B7562" w:rsidRDefault="00DE7F28" w:rsidP="00DE7F28">
            <w:pPr>
              <w:pStyle w:val="a3"/>
              <w:widowControl w:val="0"/>
              <w:tabs>
                <w:tab w:val="left" w:pos="1134"/>
              </w:tabs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</w:pPr>
            <w:r w:rsidRPr="00DE7F28">
              <w:rPr>
                <w:rFonts w:ascii="Times New Roman" w:hAnsi="Times New Roman"/>
                <w:color w:val="000000"/>
                <w:sz w:val="22"/>
                <w:szCs w:val="22"/>
                <w:lang w:val="kk-KZ" w:eastAsia="en-US"/>
              </w:rPr>
              <w:t>Қазіргі әдіс (аукцион, қосымша орналастыру, және қайта ашу) ашықтықты, бәсекелестікті және бағалы қағаздардың құнын неғұрлым әділ айқындауды қамтамасыз етеді.</w:t>
            </w:r>
          </w:p>
        </w:tc>
      </w:tr>
      <w:tr w:rsidR="00CB470C" w:rsidRPr="00F86093" w14:paraId="340C2341" w14:textId="77777777" w:rsidTr="007B7562">
        <w:tc>
          <w:tcPr>
            <w:tcW w:w="704" w:type="dxa"/>
          </w:tcPr>
          <w:p w14:paraId="2F30D38A" w14:textId="71F6B8C8" w:rsidR="00CB470C" w:rsidRPr="007B7562" w:rsidRDefault="00531389" w:rsidP="009C1710">
            <w:pPr>
              <w:pStyle w:val="a3"/>
              <w:spacing w:after="0" w:line="240" w:lineRule="auto"/>
              <w:ind w:left="122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</w:pPr>
            <w:r w:rsidRPr="007B7562">
              <w:rPr>
                <w:rFonts w:ascii="Times New Roman" w:hAnsi="Times New Roman"/>
                <w:color w:val="000000"/>
                <w:sz w:val="22"/>
                <w:szCs w:val="22"/>
                <w:lang w:val="kk-KZ"/>
              </w:rPr>
              <w:lastRenderedPageBreak/>
              <w:t>2</w:t>
            </w:r>
          </w:p>
        </w:tc>
        <w:tc>
          <w:tcPr>
            <w:tcW w:w="1843" w:type="dxa"/>
          </w:tcPr>
          <w:p w14:paraId="7F301139" w14:textId="5E3BB7FD" w:rsidR="00CB470C" w:rsidRPr="007B7562" w:rsidRDefault="00531389" w:rsidP="00D01F40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color w:val="000000"/>
                <w:lang w:val="kk-KZ" w:eastAsia="ru-RU"/>
              </w:rPr>
            </w:pPr>
            <w:r w:rsidRPr="007B7562">
              <w:rPr>
                <w:rFonts w:ascii="Times New Roman" w:hAnsi="Times New Roman"/>
                <w:color w:val="000000"/>
                <w:lang w:val="kk-KZ" w:eastAsia="ru-RU"/>
              </w:rPr>
              <w:t>16</w:t>
            </w:r>
            <w:r w:rsidR="005766B7" w:rsidRPr="007B7562">
              <w:rPr>
                <w:rFonts w:ascii="Times New Roman" w:hAnsi="Times New Roman"/>
                <w:color w:val="000000"/>
                <w:lang w:val="kk-KZ" w:eastAsia="ru-RU"/>
              </w:rPr>
              <w:t>-</w:t>
            </w:r>
            <w:r w:rsidR="00CB470C" w:rsidRPr="007B7562">
              <w:rPr>
                <w:rFonts w:ascii="Times New Roman" w:hAnsi="Times New Roman"/>
                <w:color w:val="000000"/>
                <w:lang w:val="kk-KZ" w:eastAsia="ru-RU"/>
              </w:rPr>
              <w:t>тармақ</w:t>
            </w:r>
            <w:r w:rsidR="006D0F5E" w:rsidRPr="007B7562">
              <w:rPr>
                <w:rFonts w:ascii="Times New Roman" w:hAnsi="Times New Roman"/>
                <w:color w:val="000000"/>
                <w:lang w:val="kk-KZ" w:eastAsia="ru-RU"/>
              </w:rPr>
              <w:t>тың екінші бөлігі</w:t>
            </w:r>
            <w:r w:rsidR="00CB470C" w:rsidRPr="007B7562">
              <w:rPr>
                <w:rFonts w:ascii="Times New Roman" w:hAnsi="Times New Roman"/>
                <w:color w:val="000000"/>
                <w:lang w:val="kk-KZ" w:eastAsia="ru-RU"/>
              </w:rPr>
              <w:t xml:space="preserve"> </w:t>
            </w:r>
          </w:p>
        </w:tc>
        <w:tc>
          <w:tcPr>
            <w:tcW w:w="4145" w:type="dxa"/>
          </w:tcPr>
          <w:p w14:paraId="4E4AD3D0" w14:textId="00FA0F55" w:rsidR="00203B42" w:rsidRPr="007B7562" w:rsidRDefault="00203B42" w:rsidP="00A03F8C">
            <w:pPr>
              <w:spacing w:after="0"/>
              <w:ind w:firstLine="322"/>
              <w:jc w:val="both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>16. Эмитентке бағалы қағаздарды ішінара мерзімінен бұрын немесе толық мерзімінен бұрын өтеуге жол беріледі.</w:t>
            </w:r>
          </w:p>
          <w:p w14:paraId="7211AB78" w14:textId="0C08F279" w:rsidR="00CB470C" w:rsidRPr="007B7562" w:rsidRDefault="00531389" w:rsidP="00A03F8C">
            <w:pPr>
              <w:spacing w:after="0"/>
              <w:ind w:firstLine="322"/>
              <w:jc w:val="both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7B7562">
              <w:rPr>
                <w:rFonts w:ascii="Times New Roman" w:hAnsi="Times New Roman"/>
                <w:b/>
                <w:color w:val="000000"/>
                <w:lang w:val="kk-KZ"/>
              </w:rPr>
              <w:t>Жоқ</w:t>
            </w:r>
          </w:p>
        </w:tc>
        <w:tc>
          <w:tcPr>
            <w:tcW w:w="4502" w:type="dxa"/>
          </w:tcPr>
          <w:p w14:paraId="277B504A" w14:textId="2C9645A4" w:rsidR="00203B42" w:rsidRPr="007B7562" w:rsidRDefault="00203B42" w:rsidP="00A03F8C">
            <w:pPr>
              <w:spacing w:after="0"/>
              <w:ind w:firstLine="287"/>
              <w:jc w:val="both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7B7562">
              <w:rPr>
                <w:rFonts w:ascii="Times New Roman" w:hAnsi="Times New Roman"/>
                <w:bCs/>
                <w:color w:val="000000"/>
                <w:lang w:val="kk-KZ"/>
              </w:rPr>
              <w:t>16. Эмитентке бағалы қағаздарды ішінара мерзімінен бұрын немесе толық мерзімінен бұрын өтеуге жол беріледі.</w:t>
            </w:r>
          </w:p>
          <w:p w14:paraId="2AEC0CDC" w14:textId="4484F126" w:rsidR="00CB470C" w:rsidRPr="007B7562" w:rsidRDefault="00531389" w:rsidP="00A03F8C">
            <w:pPr>
              <w:spacing w:after="0"/>
              <w:ind w:firstLine="287"/>
              <w:jc w:val="both"/>
              <w:rPr>
                <w:rFonts w:ascii="Times New Roman" w:hAnsi="Times New Roman"/>
                <w:b/>
                <w:color w:val="000000"/>
                <w:shd w:val="clear" w:color="auto" w:fill="F4F5F6"/>
                <w:lang w:val="kk-KZ"/>
              </w:rPr>
            </w:pPr>
            <w:r w:rsidRPr="007B7562">
              <w:rPr>
                <w:rFonts w:ascii="Times New Roman" w:hAnsi="Times New Roman"/>
                <w:b/>
                <w:color w:val="000000"/>
                <w:lang w:val="kk-KZ"/>
              </w:rPr>
              <w:t>Ішінара мерзімінен бұрын немесе толық мерзімінен бұрын өтеу «Қазақстан тұрғын үй компаниясы» акционерлік қоғамының келісімі бойынша</w:t>
            </w:r>
            <w:r w:rsidR="007B7562" w:rsidRPr="007B7562">
              <w:rPr>
                <w:rFonts w:ascii="Times New Roman" w:hAnsi="Times New Roman"/>
                <w:b/>
                <w:color w:val="000000"/>
                <w:lang w:val="kk-KZ"/>
              </w:rPr>
              <w:t xml:space="preserve"> бағалы қағаздарды </w:t>
            </w:r>
            <w:r w:rsidR="00DE7F28" w:rsidRPr="007B7562">
              <w:rPr>
                <w:rFonts w:ascii="Times New Roman" w:hAnsi="Times New Roman"/>
                <w:b/>
                <w:color w:val="000000"/>
                <w:lang w:val="kk-KZ"/>
              </w:rPr>
              <w:t xml:space="preserve"> </w:t>
            </w:r>
            <w:r w:rsidR="00DE7F28">
              <w:rPr>
                <w:rFonts w:ascii="Times New Roman" w:hAnsi="Times New Roman"/>
                <w:b/>
                <w:color w:val="000000"/>
                <w:lang w:val="kk-KZ"/>
              </w:rPr>
              <w:t>і</w:t>
            </w:r>
            <w:r w:rsidR="00DE7F28" w:rsidRPr="007B7562">
              <w:rPr>
                <w:rFonts w:ascii="Times New Roman" w:hAnsi="Times New Roman"/>
                <w:b/>
                <w:color w:val="000000"/>
                <w:lang w:val="kk-KZ"/>
              </w:rPr>
              <w:t xml:space="preserve">шінара мерзімінен бұрын немесе толық мерзімінен бұрын </w:t>
            </w:r>
            <w:r w:rsidRPr="007B7562">
              <w:rPr>
                <w:rFonts w:ascii="Times New Roman" w:hAnsi="Times New Roman"/>
                <w:b/>
                <w:color w:val="000000"/>
                <w:lang w:val="kk-KZ"/>
              </w:rPr>
              <w:t>өтеу күніне дейін кемінде күнтізбелік 30</w:t>
            </w:r>
            <w:r w:rsidR="00DE7F28">
              <w:rPr>
                <w:rFonts w:ascii="Times New Roman" w:hAnsi="Times New Roman"/>
                <w:b/>
                <w:color w:val="000000"/>
                <w:lang w:val="kk-KZ"/>
              </w:rPr>
              <w:t xml:space="preserve"> (отыз)</w:t>
            </w:r>
            <w:r w:rsidRPr="007B7562">
              <w:rPr>
                <w:rFonts w:ascii="Times New Roman" w:hAnsi="Times New Roman"/>
                <w:b/>
                <w:color w:val="000000"/>
                <w:lang w:val="kk-KZ"/>
              </w:rPr>
              <w:t xml:space="preserve"> күн бұрын жүзеге асырылады.</w:t>
            </w:r>
          </w:p>
        </w:tc>
        <w:tc>
          <w:tcPr>
            <w:tcW w:w="3439" w:type="dxa"/>
          </w:tcPr>
          <w:p w14:paraId="6144BB44" w14:textId="77777777" w:rsidR="00F86093" w:rsidRDefault="00F86093" w:rsidP="00F86093">
            <w:pPr>
              <w:pStyle w:val="af1"/>
              <w:jc w:val="both"/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</w:pPr>
            <w:r w:rsidRPr="00F86093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«Энергетикалық және коммуналдық секторларды жаңғырту» ұлттық жобасын іске асыру жөніндегі Жобалық кеңсе отырысының 2025 жылғы 11 қыркүйектегі № 12-04/Б-1433 хаттамасының 6-тармағын іске асыру.</w:t>
            </w:r>
          </w:p>
          <w:p w14:paraId="3CB62DE9" w14:textId="54D0972F" w:rsidR="00CB470C" w:rsidRPr="007B7562" w:rsidRDefault="00531389" w:rsidP="00F86093">
            <w:pPr>
              <w:pStyle w:val="af1"/>
              <w:jc w:val="both"/>
              <w:rPr>
                <w:rFonts w:ascii="Times New Roman" w:hAnsi="Times New Roman"/>
                <w:bCs/>
                <w:spacing w:val="2"/>
                <w:bdr w:val="none" w:sz="0" w:space="0" w:color="auto" w:frame="1"/>
                <w:lang w:val="kk-KZ"/>
              </w:rPr>
            </w:pP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Ж</w:t>
            </w:r>
            <w:r w:rsidR="007B7562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ергілікті атқарушы орган</w:t>
            </w: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 xml:space="preserve">ның бюджеттік тәртібін арттыру мақсатында әлеуметтік тұрғын үй құрылысын (сатып алуды) қаржыландыру, инженерлік инфрақұрылымды қаржыландыру және </w:t>
            </w:r>
            <w:r w:rsidR="007B7562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«</w:t>
            </w: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Э</w:t>
            </w:r>
            <w:r w:rsidR="007B7562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 xml:space="preserve">нергетикалық және коммуналдық </w:t>
            </w:r>
            <w:r w:rsidR="007B7562" w:rsidRPr="007B7562">
              <w:rPr>
                <w:lang w:val="kk-KZ"/>
              </w:rPr>
              <w:t xml:space="preserve"> </w:t>
            </w:r>
            <w:r w:rsidR="007B7562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секторларды жаңғырту»</w:t>
            </w: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 xml:space="preserve"> бойынша </w:t>
            </w:r>
            <w:r w:rsidR="0080635F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ұ</w:t>
            </w: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 xml:space="preserve">лттық жобаларды іске асыру шеңберінде </w:t>
            </w:r>
            <w:r w:rsidR="007B7562"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>жергілікті атқарушы орган</w:t>
            </w:r>
            <w:r w:rsidRPr="007B7562">
              <w:rPr>
                <w:rFonts w:ascii="Times New Roman" w:hAnsi="Times New Roman" w:cs="Times New Roman"/>
                <w:bCs/>
                <w:spacing w:val="2"/>
                <w:bdr w:val="none" w:sz="0" w:space="0" w:color="auto" w:frame="1"/>
                <w:lang w:val="kk-KZ"/>
              </w:rPr>
              <w:t xml:space="preserve"> мемлекеттік бағалы қағаздары шығарады.</w:t>
            </w:r>
          </w:p>
        </w:tc>
      </w:tr>
    </w:tbl>
    <w:p w14:paraId="1E3BB312" w14:textId="2301C783" w:rsidR="004F1033" w:rsidRPr="00B60433" w:rsidRDefault="004F1033" w:rsidP="004C6679">
      <w:pPr>
        <w:rPr>
          <w:lang w:val="kk-KZ"/>
        </w:rPr>
      </w:pPr>
    </w:p>
    <w:sectPr w:rsidR="004F1033" w:rsidRPr="00B60433" w:rsidSect="009C1710">
      <w:headerReference w:type="default" r:id="rId6"/>
      <w:pgSz w:w="16838" w:h="11906" w:orient="landscape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08272" w14:textId="77777777" w:rsidR="007A079D" w:rsidRDefault="007A079D" w:rsidP="00745EB7">
      <w:pPr>
        <w:spacing w:after="0" w:line="240" w:lineRule="auto"/>
      </w:pPr>
      <w:r>
        <w:separator/>
      </w:r>
    </w:p>
  </w:endnote>
  <w:endnote w:type="continuationSeparator" w:id="0">
    <w:p w14:paraId="35A4BEE4" w14:textId="77777777" w:rsidR="007A079D" w:rsidRDefault="007A079D" w:rsidP="00745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6677" w14:textId="77777777" w:rsidR="007A079D" w:rsidRDefault="007A079D" w:rsidP="00745EB7">
      <w:pPr>
        <w:spacing w:after="0" w:line="240" w:lineRule="auto"/>
      </w:pPr>
      <w:r>
        <w:separator/>
      </w:r>
    </w:p>
  </w:footnote>
  <w:footnote w:type="continuationSeparator" w:id="0">
    <w:p w14:paraId="5E2100B9" w14:textId="77777777" w:rsidR="007A079D" w:rsidRDefault="007A079D" w:rsidP="00745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7BD4D" w14:textId="0FCC09DB" w:rsidR="00DE7073" w:rsidRDefault="00DE707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03F8C">
      <w:rPr>
        <w:noProof/>
      </w:rPr>
      <w:t>7</w:t>
    </w:r>
    <w:r>
      <w:rPr>
        <w:noProof/>
      </w:rPr>
      <w:fldChar w:fldCharType="end"/>
    </w:r>
  </w:p>
  <w:p w14:paraId="0215F3F1" w14:textId="77777777" w:rsidR="00DE7073" w:rsidRDefault="00DE7073" w:rsidP="00745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BD3"/>
    <w:rsid w:val="00002556"/>
    <w:rsid w:val="00007096"/>
    <w:rsid w:val="00007DF6"/>
    <w:rsid w:val="000256D0"/>
    <w:rsid w:val="00027908"/>
    <w:rsid w:val="00035E9D"/>
    <w:rsid w:val="000422B8"/>
    <w:rsid w:val="00043167"/>
    <w:rsid w:val="00061A78"/>
    <w:rsid w:val="000705DC"/>
    <w:rsid w:val="00070A58"/>
    <w:rsid w:val="0007172F"/>
    <w:rsid w:val="00074F05"/>
    <w:rsid w:val="00081D8C"/>
    <w:rsid w:val="00097DFA"/>
    <w:rsid w:val="000A21EF"/>
    <w:rsid w:val="000B2BC9"/>
    <w:rsid w:val="000B307C"/>
    <w:rsid w:val="000B3B94"/>
    <w:rsid w:val="000B6B0B"/>
    <w:rsid w:val="000C3CA1"/>
    <w:rsid w:val="000C73FB"/>
    <w:rsid w:val="000F3DA5"/>
    <w:rsid w:val="000F76F3"/>
    <w:rsid w:val="00111941"/>
    <w:rsid w:val="00125575"/>
    <w:rsid w:val="00171471"/>
    <w:rsid w:val="0018057D"/>
    <w:rsid w:val="00186D7F"/>
    <w:rsid w:val="001C0031"/>
    <w:rsid w:val="001C6309"/>
    <w:rsid w:val="001C644E"/>
    <w:rsid w:val="001E0AA5"/>
    <w:rsid w:val="001F59E2"/>
    <w:rsid w:val="002010AF"/>
    <w:rsid w:val="00203B42"/>
    <w:rsid w:val="00204C42"/>
    <w:rsid w:val="00207CFB"/>
    <w:rsid w:val="002165F4"/>
    <w:rsid w:val="0022259A"/>
    <w:rsid w:val="00234D5C"/>
    <w:rsid w:val="00246923"/>
    <w:rsid w:val="00256545"/>
    <w:rsid w:val="00264D50"/>
    <w:rsid w:val="00277D8D"/>
    <w:rsid w:val="00284D66"/>
    <w:rsid w:val="00296116"/>
    <w:rsid w:val="002A616E"/>
    <w:rsid w:val="002A75ED"/>
    <w:rsid w:val="002A798C"/>
    <w:rsid w:val="002B3DE9"/>
    <w:rsid w:val="002C264C"/>
    <w:rsid w:val="002C408F"/>
    <w:rsid w:val="002C4854"/>
    <w:rsid w:val="002D32A7"/>
    <w:rsid w:val="002E2522"/>
    <w:rsid w:val="002E77F5"/>
    <w:rsid w:val="002F4114"/>
    <w:rsid w:val="002F4D09"/>
    <w:rsid w:val="00331B34"/>
    <w:rsid w:val="00344EF1"/>
    <w:rsid w:val="00351F37"/>
    <w:rsid w:val="00366CB4"/>
    <w:rsid w:val="003811E1"/>
    <w:rsid w:val="00392637"/>
    <w:rsid w:val="00393E38"/>
    <w:rsid w:val="003A68DE"/>
    <w:rsid w:val="003A7FDD"/>
    <w:rsid w:val="003B4813"/>
    <w:rsid w:val="003C0462"/>
    <w:rsid w:val="003D544E"/>
    <w:rsid w:val="003F405C"/>
    <w:rsid w:val="00401087"/>
    <w:rsid w:val="004145D1"/>
    <w:rsid w:val="0042414F"/>
    <w:rsid w:val="00430CE3"/>
    <w:rsid w:val="00447198"/>
    <w:rsid w:val="0045030C"/>
    <w:rsid w:val="00456FDB"/>
    <w:rsid w:val="004633A2"/>
    <w:rsid w:val="004633D9"/>
    <w:rsid w:val="0047684D"/>
    <w:rsid w:val="00480FE0"/>
    <w:rsid w:val="0048557D"/>
    <w:rsid w:val="00486924"/>
    <w:rsid w:val="004A238C"/>
    <w:rsid w:val="004A33C7"/>
    <w:rsid w:val="004A65FD"/>
    <w:rsid w:val="004C1619"/>
    <w:rsid w:val="004C2B67"/>
    <w:rsid w:val="004C6679"/>
    <w:rsid w:val="004D0809"/>
    <w:rsid w:val="004F1033"/>
    <w:rsid w:val="004F161A"/>
    <w:rsid w:val="00531389"/>
    <w:rsid w:val="0054250E"/>
    <w:rsid w:val="0055579B"/>
    <w:rsid w:val="00557436"/>
    <w:rsid w:val="005766B7"/>
    <w:rsid w:val="005A72D5"/>
    <w:rsid w:val="005B09C5"/>
    <w:rsid w:val="005B3779"/>
    <w:rsid w:val="005C3480"/>
    <w:rsid w:val="005F44D0"/>
    <w:rsid w:val="00662376"/>
    <w:rsid w:val="0066260A"/>
    <w:rsid w:val="00665659"/>
    <w:rsid w:val="00666223"/>
    <w:rsid w:val="00667709"/>
    <w:rsid w:val="00667A85"/>
    <w:rsid w:val="0069341F"/>
    <w:rsid w:val="006A0806"/>
    <w:rsid w:val="006A3B0B"/>
    <w:rsid w:val="006A75E6"/>
    <w:rsid w:val="006A7619"/>
    <w:rsid w:val="006B0E64"/>
    <w:rsid w:val="006B3E60"/>
    <w:rsid w:val="006C66E1"/>
    <w:rsid w:val="006D0F5E"/>
    <w:rsid w:val="006D2627"/>
    <w:rsid w:val="006E4FA7"/>
    <w:rsid w:val="006F0FD4"/>
    <w:rsid w:val="006F42F3"/>
    <w:rsid w:val="006F4607"/>
    <w:rsid w:val="00704FE8"/>
    <w:rsid w:val="00720E2F"/>
    <w:rsid w:val="00723F14"/>
    <w:rsid w:val="00725C80"/>
    <w:rsid w:val="00734DEA"/>
    <w:rsid w:val="007370CE"/>
    <w:rsid w:val="00741EDE"/>
    <w:rsid w:val="007459DA"/>
    <w:rsid w:val="00745EB7"/>
    <w:rsid w:val="00777B2E"/>
    <w:rsid w:val="0078031C"/>
    <w:rsid w:val="007A079D"/>
    <w:rsid w:val="007B5E73"/>
    <w:rsid w:val="007B6FA2"/>
    <w:rsid w:val="007B7562"/>
    <w:rsid w:val="007C14C3"/>
    <w:rsid w:val="007C4C5B"/>
    <w:rsid w:val="007C6CDC"/>
    <w:rsid w:val="007D53FC"/>
    <w:rsid w:val="007D694F"/>
    <w:rsid w:val="007E38BB"/>
    <w:rsid w:val="0080635F"/>
    <w:rsid w:val="00810897"/>
    <w:rsid w:val="008213CE"/>
    <w:rsid w:val="00826087"/>
    <w:rsid w:val="00826535"/>
    <w:rsid w:val="008610B5"/>
    <w:rsid w:val="00861DB2"/>
    <w:rsid w:val="00867CF2"/>
    <w:rsid w:val="00870472"/>
    <w:rsid w:val="00872500"/>
    <w:rsid w:val="00877BBB"/>
    <w:rsid w:val="00883784"/>
    <w:rsid w:val="00894FC0"/>
    <w:rsid w:val="008A3DB1"/>
    <w:rsid w:val="008B1804"/>
    <w:rsid w:val="008B25E7"/>
    <w:rsid w:val="008D069C"/>
    <w:rsid w:val="008E3A13"/>
    <w:rsid w:val="008F188C"/>
    <w:rsid w:val="008F7D8F"/>
    <w:rsid w:val="00902808"/>
    <w:rsid w:val="00906BA1"/>
    <w:rsid w:val="00920BFA"/>
    <w:rsid w:val="009277F2"/>
    <w:rsid w:val="009310F9"/>
    <w:rsid w:val="00933DCC"/>
    <w:rsid w:val="0094221F"/>
    <w:rsid w:val="0095060A"/>
    <w:rsid w:val="009573DE"/>
    <w:rsid w:val="009668C2"/>
    <w:rsid w:val="009802DD"/>
    <w:rsid w:val="00991B72"/>
    <w:rsid w:val="009B4FCE"/>
    <w:rsid w:val="009C1710"/>
    <w:rsid w:val="009C5ED3"/>
    <w:rsid w:val="009D0F47"/>
    <w:rsid w:val="009D16CF"/>
    <w:rsid w:val="009D5374"/>
    <w:rsid w:val="009F4798"/>
    <w:rsid w:val="00A03F8C"/>
    <w:rsid w:val="00A1329E"/>
    <w:rsid w:val="00A15195"/>
    <w:rsid w:val="00A27904"/>
    <w:rsid w:val="00A53B73"/>
    <w:rsid w:val="00A566F2"/>
    <w:rsid w:val="00AA169E"/>
    <w:rsid w:val="00AA2E25"/>
    <w:rsid w:val="00AA5D63"/>
    <w:rsid w:val="00AC1477"/>
    <w:rsid w:val="00AC74F6"/>
    <w:rsid w:val="00AD1944"/>
    <w:rsid w:val="00AD2E5B"/>
    <w:rsid w:val="00AE2F5D"/>
    <w:rsid w:val="00AF0CD6"/>
    <w:rsid w:val="00B120A3"/>
    <w:rsid w:val="00B1486F"/>
    <w:rsid w:val="00B27A93"/>
    <w:rsid w:val="00B55B77"/>
    <w:rsid w:val="00B60433"/>
    <w:rsid w:val="00B64727"/>
    <w:rsid w:val="00B84E51"/>
    <w:rsid w:val="00B94735"/>
    <w:rsid w:val="00B95FF6"/>
    <w:rsid w:val="00BB41FB"/>
    <w:rsid w:val="00BD0D11"/>
    <w:rsid w:val="00BD2DAA"/>
    <w:rsid w:val="00BD4989"/>
    <w:rsid w:val="00BD5107"/>
    <w:rsid w:val="00BE0B7E"/>
    <w:rsid w:val="00BE4D2C"/>
    <w:rsid w:val="00BE4F07"/>
    <w:rsid w:val="00C01F94"/>
    <w:rsid w:val="00C11F8D"/>
    <w:rsid w:val="00C143B4"/>
    <w:rsid w:val="00C21BD3"/>
    <w:rsid w:val="00C30677"/>
    <w:rsid w:val="00C3344D"/>
    <w:rsid w:val="00C34876"/>
    <w:rsid w:val="00C605A3"/>
    <w:rsid w:val="00C62227"/>
    <w:rsid w:val="00C671BF"/>
    <w:rsid w:val="00C75F98"/>
    <w:rsid w:val="00C76F32"/>
    <w:rsid w:val="00C81F41"/>
    <w:rsid w:val="00C8371C"/>
    <w:rsid w:val="00CA0ABB"/>
    <w:rsid w:val="00CA266C"/>
    <w:rsid w:val="00CA474E"/>
    <w:rsid w:val="00CA68B8"/>
    <w:rsid w:val="00CB470C"/>
    <w:rsid w:val="00CB6DED"/>
    <w:rsid w:val="00CC71D2"/>
    <w:rsid w:val="00CC7C5C"/>
    <w:rsid w:val="00CD223A"/>
    <w:rsid w:val="00CE3737"/>
    <w:rsid w:val="00CE7AD6"/>
    <w:rsid w:val="00CF0847"/>
    <w:rsid w:val="00CF49B9"/>
    <w:rsid w:val="00D01F40"/>
    <w:rsid w:val="00D07D4F"/>
    <w:rsid w:val="00D13E15"/>
    <w:rsid w:val="00D17A11"/>
    <w:rsid w:val="00D226E0"/>
    <w:rsid w:val="00D26BE4"/>
    <w:rsid w:val="00D32499"/>
    <w:rsid w:val="00D33C56"/>
    <w:rsid w:val="00D3745C"/>
    <w:rsid w:val="00D51F8B"/>
    <w:rsid w:val="00D534B7"/>
    <w:rsid w:val="00D637D4"/>
    <w:rsid w:val="00D9308C"/>
    <w:rsid w:val="00D954FC"/>
    <w:rsid w:val="00DA3715"/>
    <w:rsid w:val="00DA53CE"/>
    <w:rsid w:val="00DB0ED6"/>
    <w:rsid w:val="00DB1207"/>
    <w:rsid w:val="00DC0ED1"/>
    <w:rsid w:val="00DC55BC"/>
    <w:rsid w:val="00DC5FEE"/>
    <w:rsid w:val="00DD1E5B"/>
    <w:rsid w:val="00DE638B"/>
    <w:rsid w:val="00DE7073"/>
    <w:rsid w:val="00DE7F28"/>
    <w:rsid w:val="00DF077C"/>
    <w:rsid w:val="00DF128D"/>
    <w:rsid w:val="00DF6359"/>
    <w:rsid w:val="00E11401"/>
    <w:rsid w:val="00E414C9"/>
    <w:rsid w:val="00E4400E"/>
    <w:rsid w:val="00E44FCC"/>
    <w:rsid w:val="00E55A3A"/>
    <w:rsid w:val="00E7065B"/>
    <w:rsid w:val="00E74212"/>
    <w:rsid w:val="00E808AF"/>
    <w:rsid w:val="00E9079B"/>
    <w:rsid w:val="00E961D9"/>
    <w:rsid w:val="00EA144C"/>
    <w:rsid w:val="00EB436B"/>
    <w:rsid w:val="00EB5E8A"/>
    <w:rsid w:val="00EE26D7"/>
    <w:rsid w:val="00EE36B9"/>
    <w:rsid w:val="00EF62FF"/>
    <w:rsid w:val="00F012A6"/>
    <w:rsid w:val="00F01EC9"/>
    <w:rsid w:val="00F1350E"/>
    <w:rsid w:val="00F408B6"/>
    <w:rsid w:val="00F44B58"/>
    <w:rsid w:val="00F5231D"/>
    <w:rsid w:val="00F65EE7"/>
    <w:rsid w:val="00F71D5F"/>
    <w:rsid w:val="00F76740"/>
    <w:rsid w:val="00F86093"/>
    <w:rsid w:val="00F876FE"/>
    <w:rsid w:val="00F92D8B"/>
    <w:rsid w:val="00FA4B37"/>
    <w:rsid w:val="00FB454A"/>
    <w:rsid w:val="00FC4408"/>
    <w:rsid w:val="00FD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579E4E"/>
  <w15:docId w15:val="{DB01C4B0-476D-4AB2-BB62-58C44F1B9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E1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AA169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59E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aliases w:val="маркированный,Содержание. 2 уровень,Заголовок_3,Bullet List,FooterText,numbered,AC List 01,Подпись рисунка,Bullet_IRAO,Мой Список,Heading1,Colorful List - Accent 11,Bullet Points,без абзаца,ПАРАГРАФ,Абзац,Elenco Normale,Абзац с отступом"/>
    <w:basedOn w:val="a"/>
    <w:link w:val="a4"/>
    <w:uiPriority w:val="99"/>
    <w:qFormat/>
    <w:rsid w:val="00CA0ABB"/>
    <w:pPr>
      <w:spacing w:after="200" w:line="276" w:lineRule="auto"/>
      <w:ind w:left="720"/>
      <w:contextualSpacing/>
    </w:pPr>
    <w:rPr>
      <w:sz w:val="20"/>
      <w:szCs w:val="20"/>
      <w:lang w:eastAsia="ru-RU"/>
    </w:rPr>
  </w:style>
  <w:style w:type="character" w:customStyle="1" w:styleId="a4">
    <w:name w:val="Абзац списка Знак"/>
    <w:aliases w:val="маркированный Знак,Содержание. 2 уровень Знак,Заголовок_3 Знак,Bullet List Знак,FooterText Знак,numbered Знак,AC List 01 Знак,Подпись рисунка Знак,Bullet_IRAO Знак,Мой Список Знак,Heading1 Знак,Colorful List - Accent 11 Знак,Абзац Знак"/>
    <w:link w:val="a3"/>
    <w:uiPriority w:val="99"/>
    <w:locked/>
    <w:rsid w:val="00CA0ABB"/>
    <w:rPr>
      <w:rFonts w:ascii="Calibri" w:eastAsia="Times New Roman" w:hAnsi="Calibri"/>
      <w:lang w:val="ru-RU"/>
    </w:rPr>
  </w:style>
  <w:style w:type="paragraph" w:styleId="a5">
    <w:name w:val="header"/>
    <w:basedOn w:val="a"/>
    <w:link w:val="a6"/>
    <w:uiPriority w:val="99"/>
    <w:rsid w:val="0074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45EB7"/>
    <w:rPr>
      <w:rFonts w:cs="Times New Roman"/>
    </w:rPr>
  </w:style>
  <w:style w:type="paragraph" w:styleId="a7">
    <w:name w:val="footer"/>
    <w:basedOn w:val="a"/>
    <w:link w:val="a8"/>
    <w:uiPriority w:val="99"/>
    <w:rsid w:val="00745E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45EB7"/>
    <w:rPr>
      <w:rFonts w:cs="Times New Roman"/>
    </w:rPr>
  </w:style>
  <w:style w:type="character" w:styleId="a9">
    <w:name w:val="Hyperlink"/>
    <w:uiPriority w:val="99"/>
    <w:rsid w:val="00CE7AD6"/>
    <w:rPr>
      <w:rFonts w:cs="Times New Roman"/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E808A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808A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808AF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808A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808AF"/>
    <w:rPr>
      <w:b/>
      <w:bCs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E80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808AF"/>
    <w:rPr>
      <w:rFonts w:ascii="Segoe UI" w:hAnsi="Segoe UI" w:cs="Segoe UI"/>
      <w:sz w:val="18"/>
      <w:szCs w:val="18"/>
      <w:lang w:eastAsia="en-US"/>
    </w:rPr>
  </w:style>
  <w:style w:type="paragraph" w:styleId="af1">
    <w:name w:val="No Spacing"/>
    <w:uiPriority w:val="1"/>
    <w:qFormat/>
    <w:rsid w:val="0053138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Султанбеков Алмаз Султанбекович</dc:creator>
  <cp:keywords/>
  <dc:description/>
  <cp:lastModifiedBy>Богдан Когай Дмитриевич</cp:lastModifiedBy>
  <cp:revision>147</cp:revision>
  <cp:lastPrinted>2022-12-22T06:09:00Z</cp:lastPrinted>
  <dcterms:created xsi:type="dcterms:W3CDTF">2024-04-03T10:39:00Z</dcterms:created>
  <dcterms:modified xsi:type="dcterms:W3CDTF">2025-10-08T07:16:00Z</dcterms:modified>
</cp:coreProperties>
</file>